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pseudointsia</w:t>
      </w:r>
      <w:r>
        <w:t xml:space="preserve"> (Miq.)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Erroneously recorded for Singapore by Lock &amp; Ford (2004: 73) and in ILDIS (The International Legume Database &amp; Information Service, Roskov et al. 2005), based on Ridley (1922); the specimens cited by Ridley are referable to S. kekapur (Singapore).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(Java, Sumatra), Malaysia (Peninsular Malaysia, Sabah, Sarawak), Thailand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pseudointsia</w:t>
      </w:r>
      <w:r>
        <w:t xml:space="preserve"> Miq.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pseudointsia</w:t>
      </w:r>
      <w:r>
        <w:t xml:space="preserve"> Miq.</w:t>
      </w:r>
      <w:r>
        <w:t xml:space="preserve"> (1855)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pseudointsia</w:t>
      </w:r>
      <w:r w:rsidR="00041308">
        <w:t xml:space="preserve"> var.</w:t>
      </w:r>
      <w:r w:rsidR="00041308" w:rsidRPr="00815E7D">
        <w:rPr>
          <w:i/>
        </w:rPr>
        <w:t xml:space="preserve"> pseudointsia</w:t>
      </w:r>
      <w:r>
        <w:t xml:space="preserve"> Miq.</w:t>
      </w:r>
      <w:r>
        <w:t xml:space="preserve"> (1897)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macrocephala</w:t>
      </w:r>
      <w:r w:rsidR="00041308">
        <w:t xml:space="preserve"> var.</w:t>
      </w:r>
      <w:r w:rsidR="00041308" w:rsidRPr="00815E7D">
        <w:rPr>
          <w:i/>
        </w:rPr>
        <w:t xml:space="preserve"> siamensis</w:t>
      </w:r>
      <w:r>
        <w:t xml:space="preserve"> Craib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>
        <w:t xml:space="preserve"> sens. Miq.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pseudointsia</w:t>
      </w:r>
      <w:r>
        <w:t xml:space="preserve">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pseudointsia</w:t>
      </w:r>
      <w:proofErr w:type="spellEnd"/>
      <w:r>
        <w:t xml:space="preserve"> (Miq.)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Java, Blume s.n. (L)</w:t>
      </w:r>
      <w:proofErr w:type="spellEnd"/>
      <w:r w:rsidRPr="009A6983">
        <w:rPr>
          <w:b/>
        </w:rPr>
        <w:t xml:space="preserve"> Source:</w:t>
      </w:r>
      <w:r>
        <w:t xml:space="preserve"> Nielsen (1980: 355)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pseudointsia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pseudointsia</w:t>
      </w:r>
      <w:proofErr w:type="spellEnd"/>
      <w:r>
        <w:t xml:space="preserve"> Miq.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66:249 &amp; 511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pseudointsia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(Miq.)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pseudointsia var. ambigua Prain.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macrocephala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siamensis</w:t>
      </w:r>
      <w:proofErr w:type="spellEnd"/>
      <w:r>
        <w:t xml:space="preserve">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1(3):549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pseudointsia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(Miq.)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Thailand, Kerr, 10357 (K); isotypes: ABD, BM</w:t>
      </w:r>
      <w:proofErr w:type="spellEnd"/>
      <w:r w:rsidRPr="009A6983">
        <w:rPr>
          <w:b/>
        </w:rPr>
        <w:t xml:space="preserve"> Source:</w:t>
      </w:r>
      <w:r>
        <w:t xml:space="preserve"> Nielsen (1980: 355)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r>
        <w:t xml:space="preserve"> sens.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1:12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pseudointsia</w:t>
      </w:r>
      <w:proofErr w:type="spellEnd"/>
      <w:r>
        <w:t xml:space="preserve"> (Miq.)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cit. specim. "A. globulifera Blume in Herb. laud." et quoad nom. vernac. "Aroy Garoet" (Nielsen 1985: 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