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abyssinica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macroloba</w:t>
      </w:r>
      <w:proofErr w:type="spellEnd"/>
      <w:r>
        <w:t xml:space="preserve">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2:212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Boulos (1995: 327)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johnwoodii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(Boulos) Ragup., Seigler, Ebinger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