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canescens</w:t>
      </w:r>
      <w:r>
        <w:t xml:space="preserve"> Graham ex Gamble</w:t>
      </w:r>
      <w:r w:rsidR="00780DEE" w:rsidRPr="00780DEE">
        <w:rPr>
          <w:i/>
        </w:rPr>
        <w:t xml:space="preserve"> Fl. Madras</w:t>
      </w:r>
      <w:proofErr w:type="spellStart"/>
      <w:r w:rsidR="00780DEE">
        <w:t xml:space="preserve"> 1:429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r>
        <w:t xml:space="preserve"> (L.)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M.Martens &amp; Galeotti (1843). Gamble based Acacia canescens on Acacia canescens Graham, nom. nud. and Acacia pennata var. canescens Graham ex Baker (1878) non Graham ex Kurz (1877).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pennata</w:t>
      </w:r>
      <w:r>
        <w:t xml:space="preserve"> var.</w:t>
      </w:r>
      <w:r w:rsidRPr="00815E7D">
        <w:rPr>
          <w:i/>
        </w:rPr>
        <w:t xml:space="preserve"> canescens</w:t>
      </w:r>
      <w:r>
        <w:t xml:space="preserve"> Graham ex 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