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canescens</w:t>
      </w:r>
      <w:proofErr w:type="spellEnd"/>
      <w:r>
        <w:t xml:space="preserve"> Graham ex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45(4):298</w:t>
      </w:r>
      <w:proofErr w:type="spellEnd"/>
      <w:r w:rsidR="00780DEE">
        <w:t xml:space="preserve"> ("1876" publ. 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(2012: 466)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“Wall. Cat. n. 5256” and “[un-named collector] Ava [Myanmar]”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status of this name requires further study; it may represent a 'good' taxonomic entity restricted to Myanmar and NE India.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