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wallichiana</w:t>
      </w:r>
      <w:proofErr w:type="spellEnd"/>
      <w:r>
        <w:t xml:space="preserve"> (DC.) P.C.Huang</w:t>
      </w:r>
      <w:r w:rsidR="00780DEE" w:rsidRPr="00780DEE">
        <w:rPr>
          <w:i/>
        </w:rPr>
        <w:t xml:space="preserve"> Syl. Sin.</w:t>
      </w:r>
      <w:proofErr w:type="spellStart"/>
      <w:r w:rsidR="00780DEE">
        <w:t xml:space="preserve"> 2:1259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Deshpande et al.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catechu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(L.f.)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wallichiana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