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tomentosa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chrysocoma</w:t>
      </w:r>
      <w:proofErr w:type="spellEnd"/>
      <w:r>
        <w:t xml:space="preserve"> (Miq.) Backer</w:t>
      </w:r>
      <w:r w:rsidR="00780DEE" w:rsidRPr="00780DEE">
        <w:rPr>
          <w:i/>
        </w:rPr>
        <w:t xml:space="preserve"> Voorl. Schoolfl. Java</w:t>
      </w:r>
      <w:proofErr w:type="spellStart"/>
      <w:r w:rsidR="00780DEE">
        <w:t xml:space="preserve"> :107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Nielsen (1981: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tomentosa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(Rottler)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chrysocoma</w:t>
      </w:r>
      <w:r>
        <w:t xml:space="preserve"> Miq.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