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Delaportea armata</w:t>
      </w:r>
      <w:r>
        <w:t xml:space="preserve"> Thorel ex Gagnep.</w:t>
      </w:r>
      <w:r w:rsidR="00780DEE" w:rsidRPr="00780DEE">
        <w:rPr>
          <w:i/>
        </w:rPr>
        <w:t xml:space="preserve"> Notul. Syst. (Paris)</w:t>
      </w:r>
      <w:proofErr w:type="spellStart"/>
      <w:r w:rsidR="00780DEE">
        <w:t xml:space="preserve"> 2:118</w:t>
      </w:r>
      <w:proofErr w:type="spellEnd"/>
      <w:r w:rsidR="00780DEE">
        <w:t xml:space="preserve"> (1911)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Nielsen (1980: 345)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harmandiana</w:t>
      </w:r>
      <w:proofErr w:type="spellEnd"/>
      <w:r>
        <w:t xml:space="preserve"> (Pierre) Maslin,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Thorel 2138 (not 2137) (P)</w:t>
      </w:r>
      <w:proofErr w:type="spellEnd"/>
      <w:r w:rsidRPr="009A6983">
        <w:rPr>
          <w:b/>
        </w:rPr>
        <w:t xml:space="preserve"> Source:</w:t>
      </w:r>
      <w:r>
        <w:t xml:space="preserve"> Nielsen (1980: 345)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