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baessleri</w:t>
      </w:r>
      <w:r>
        <w:t xml:space="preserve"> H.D.Clarke, Seigler &amp; Ebinger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34(1):89-91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Province Guantánamo: Mpio. San Antonio del Sur, Abra de Mariana, monte seco, calizo, alt. 100–300 m, 21 May 1982, J. Bisse, M. Bässler, M.A. Díaz, H. Dietrich, L. Gonzáles, &amp; K.F. Günther 48121 (K); isotype: NY</w:t>
      </w:r>
      <w:proofErr w:type="spellEnd"/>
      <w:r w:rsidRPr="009A6983">
        <w:rPr>
          <w:b/>
        </w:rPr>
        <w:t xml:space="preserve"> Source:</w:t>
      </w:r>
      <w:r>
        <w:t xml:space="preserve"> Clarke et al. (2009: 89)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'baessleria'.</w:t>
      </w:r>
    </w:p>
    <w:p w:rsidR="009A6983" w:rsidRPr="009A6983" w:rsidRDefault="009A6983">
      <w:r>
        <w:rPr>
          <w:b/>
        </w:rPr>
        <w:t>Distribution:</w:t>
      </w:r>
      <w:r>
        <w:t xml:space="preserve"> CARIBBEAN [N]: Cuba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