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beckleri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beckleri</w:t>
      </w:r>
      <w:proofErr w:type="spellEnd"/>
      <w:r>
        <w:t xml:space="preserve"> Tindale</w:t>
      </w:r>
      <w:r w:rsidR="00780DEE" w:rsidRPr="00780DEE">
        <w:rPr>
          <w:i/>
        </w:rPr>
        <w:t xml:space="preserve"> J. Adelaide Bot. Gard.</w:t>
      </w:r>
      <w:proofErr w:type="spellStart"/>
      <w:r w:rsidR="00780DEE">
        <w:t xml:space="preserve"> 22:63</w:t>
      </w:r>
      <w:proofErr w:type="spellEnd"/>
      <w:r w:rsidR="00780DEE">
        <w:t xml:space="preserve"> (2008)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beckleri subsp. megaspherica O'Leary.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South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beckleri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