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modesta</w:t>
      </w:r>
      <w:r>
        <w:t xml:space="preserve"> (Wall.) P.J.H.Hurter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record of Acacia modesta in ILDIS (The International Legume Database &amp; Information Service, Roskov et al. 2005) for Tamil Nadu State, India, is most likely based on a specimen of Senegalia tanjorensis.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INDIAN SUBCONTINENT [N]: India (Rajasthan, Uttar Pradesh, West Bengal, Punjab, Odisha, Jammu &amp; Kashmir, Himachal Pradesh, Delhi, Bihar, Maharashtra), Pakistan. SOUTHEAST ASIA [N]: Myanmar. WEST ASIA [N]: Afghanistan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modesta</w:t>
      </w:r>
      <w:r>
        <w:t xml:space="preserve"> Wall.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modesta</w:t>
      </w:r>
      <w:r>
        <w:t xml:space="preserve"> Wall.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subsp.</w:t>
      </w:r>
      <w:r w:rsidR="00041308" w:rsidRPr="00815E7D">
        <w:rPr>
          <w:i/>
        </w:rPr>
        <w:t xml:space="preserve"> modesta</w:t>
      </w:r>
      <w:r>
        <w:t xml:space="preserve"> (Wall.)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dumosa</w:t>
      </w:r>
      <w:r>
        <w:t xml:space="preserve"> Roxb.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dumosa</w:t>
      </w:r>
      <w:r>
        <w:t xml:space="preserve"> (Roxb.) Wight &amp; Arn.</w:t>
      </w:r>
      <w:r>
        <w:t xml:space="preserve"> (1834)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obovata</w:t>
      </w:r>
      <w:r>
        <w:t xml:space="preserve"> Roxb.</w:t>
      </w:r>
      <w:r>
        <w:t xml:space="preserve"> (1832)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modesta</w:t>
      </w:r>
      <w:r>
        <w:t xml:space="preserve"> Wall.</w:t>
      </w:r>
      <w:r w:rsidR="00780DEE" w:rsidRPr="00780DEE">
        <w:rPr>
          <w:i/>
        </w:rPr>
        <w:t xml:space="preserve"> Pl. Asiat. Rar.</w:t>
      </w:r>
      <w:proofErr w:type="spellStart"/>
      <w:r w:rsidR="00780DEE">
        <w:t xml:space="preserve"> 2:27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and Gandopadhyay 1996: 618): India, cultivated in Calcutta Botanic Garden, Anonymous. in Herb. E India Co. 5230A (K-W)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618); see also Hurter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modesta</w:t>
      </w:r>
      <w:proofErr w:type="spellEnd"/>
      <w:r>
        <w:t xml:space="preserve"> (Wall.)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11:153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(Wall.)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dumosa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2:559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Sanjappa (1992: 41); Chakrabarty &amp;amp; Gandopadhyay (1996: 618)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the country immediately west of Delhi"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H.B.C. [Hort. Bot. Calcutta], Roxburgh s.n. (CAL)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dumosa</w:t>
      </w:r>
      <w:r>
        <w:t xml:space="preserve"> (Roxb.)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:274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dumosa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obovata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Sanjappa (1992: 41); Chakrabarty &amp;amp; Gandopadhyay (1996: 618)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Rohilcund where it blossoms in March."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