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awestonii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awestoniana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Australian Plant Census notes: "L. Pedley, Austrobaileya 6(3): 452 (2003) inadvertently listed his new combination as Racosperma awestonii, citing the basionym as Acacia awestonii R.S.Cowan &amp; Maslin. Despite the orthographic error in the basionym and the epithet in Racosperma, this does not invalidate the combination (ICBN Art. 33.5). Pedley's later correction in Austrobaileya 6(4): 985 (2004) is again listed as a comb. Nov., but this is superfluous and thus illegitimate.".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awestoniana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