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chobiensis</w:t>
      </w:r>
      <w:proofErr w:type="spellEnd"/>
      <w:r>
        <w:t xml:space="preserve"> (O.B.Mill.) A.Schreib.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6:251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chobiensis</w:t>
      </w:r>
      <w:proofErr w:type="spellEnd"/>
      <w:r>
        <w:t xml:space="preserve"> (O.B.Mill.)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stolonifera</w:t>
      </w:r>
      <w:r>
        <w:t xml:space="preserve"> var.</w:t>
      </w:r>
      <w:r w:rsidRPr="00815E7D">
        <w:rPr>
          <w:i/>
        </w:rPr>
        <w:t xml:space="preserve"> chobiensis</w:t>
      </w:r>
      <w:r>
        <w:t xml:space="preserve"> O.B.Mill.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