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velutina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glabrescens</w:t>
      </w:r>
      <w:proofErr w:type="spellEnd"/>
      <w:r>
        <w:t xml:space="preserve"> (Speg.) Burkart</w:t>
      </w:r>
      <w:r w:rsidR="00780DEE" w:rsidRPr="00780DEE">
        <w:rPr>
          <w:i/>
        </w:rPr>
        <w:t xml:space="preserve"> Legum. Argent., ed. 2</w:t>
      </w:r>
      <w:proofErr w:type="spellStart"/>
      <w:r w:rsidR="00780DEE">
        <w:t xml:space="preserve"> :541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77)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velutina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distinct variety of Acacia velutina by Rico Arce (2007: 181).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Manganaroa velutina</w:t>
      </w:r>
      <w:r>
        <w:t xml:space="preserve"> var.</w:t>
      </w:r>
      <w:r w:rsidRPr="00815E7D">
        <w:rPr>
          <w:i/>
        </w:rPr>
        <w:t xml:space="preserve"> glabrescens</w:t>
      </w:r>
      <w:r>
        <w:t xml:space="preserve"> Speg.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