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veraensis</w:t>
      </w:r>
      <w:proofErr w:type="spellEnd"/>
      <w:r>
        <w:t xml:space="preserve"> Kitanov</w:t>
      </w:r>
      <w:r w:rsidR="00780DEE" w:rsidRPr="00780DEE">
        <w:rPr>
          <w:i/>
        </w:rPr>
        <w:t xml:space="preserve"> Ann. Univ. Sofia, Fac. Biol.</w:t>
      </w:r>
      <w:proofErr w:type="spellStart"/>
      <w:r w:rsidR="00780DEE">
        <w:t xml:space="preserve"> 64(2):60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"1969/1970", Kitanov s.n. (n.v.)</w:t>
      </w:r>
      <w:proofErr w:type="spellEnd"/>
      <w:r w:rsidRPr="009A6983">
        <w:rPr>
          <w:b/>
        </w:rPr>
        <w:t xml:space="preserve"> Source:</w:t>
      </w:r>
      <w:r>
        <w:t xml:space="preserve"> Seigler et al. (2006: 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