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pinnata</w:t>
      </w:r>
      <w:r>
        <w:t xml:space="preserve"> Link</w:t>
      </w:r>
      <w:r w:rsidR="00780DEE" w:rsidRPr="00780DEE">
        <w:rPr>
          <w:i/>
        </w:rPr>
        <w:t xml:space="preserve"> Enum. Hort. Berol. Alt.</w:t>
      </w:r>
      <w:proofErr w:type="spellStart"/>
      <w:r w:rsidR="00780DEE">
        <w:t xml:space="preserve"> 2:446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tamarindifolia</w:t>
      </w:r>
      <w:proofErr w:type="spellEnd"/>
      <w:r>
        <w:t xml:space="preserve"> (L.) Britton &amp; Rose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tamarindifolia L. given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