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tamarindifolia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1:523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 meridionali."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(desiganted by Howard 1988: 344): [icon] "Mimosa aculeata, foliis bipinnatis, partialibus quinque jugatis" in Plumier in Burman, Pl. Amer.: 4, t. 7. 1755. [Inadvertantly treated as holotype by Seigler et al. (2006: 73)]</w:t>
      </w:r>
      <w:proofErr w:type="spellEnd"/>
      <w:r w:rsidRPr="009A6983">
        <w:rPr>
          <w:b/>
        </w:rPr>
        <w:t xml:space="preserve"> Source:</w:t>
      </w:r>
      <w:r>
        <w:t xml:space="preserve"> Jarvis (2007: 677)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