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cundinamarcae</w:t>
      </w:r>
      <w:r>
        <w:t xml:space="preserve"> (Britton &amp; Killip) Gárcia-Barr. &amp; Forero</w:t>
      </w:r>
      <w:r w:rsidR="00780DEE" w:rsidRPr="00780DEE">
        <w:rPr>
          <w:i/>
        </w:rPr>
        <w:t xml:space="preserve"> Cat. Ilustr. Pl. Cundinamarca</w:t>
      </w:r>
      <w:proofErr w:type="spellStart"/>
      <w:r w:rsidR="00780DEE">
        <w:t xml:space="preserve"> 3:19</w:t>
      </w:r>
      <w:proofErr w:type="spellEnd"/>
      <w:r w:rsidR="00780DEE">
        <w:t xml:space="preserve"> (1968)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75-76).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cundinamarcae</w:t>
      </w:r>
      <w:r>
        <w:t xml:space="preserve"> Britton &amp; Killip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