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rohriana</w:t>
      </w:r>
      <w:r>
        <w:t xml:space="preserve">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2:457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Replacement name   Source. Seigler et al. (2017: 185)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muricata</w:t>
      </w:r>
      <w:proofErr w:type="spellEnd"/>
      <w:r>
        <w:t xml:space="preserve"> (L.)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'Rohriana'.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nigricans</w:t>
      </w:r>
      <w:r>
        <w:t xml:space="preserve"> Vahl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