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Manganaroa paniculata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paraguayensis</w:t>
      </w:r>
      <w:proofErr w:type="spellEnd"/>
      <w:r>
        <w:t xml:space="preserve"> Speg.</w:t>
      </w:r>
      <w:r w:rsidR="00780DEE" w:rsidRPr="00780DEE">
        <w:rPr>
          <w:i/>
        </w:rPr>
        <w:t xml:space="preserve"> Bol. Acad. Nac. Ci. Republ. Argent.</w:t>
      </w:r>
      <w:proofErr w:type="spellStart"/>
      <w:r w:rsidR="00780DEE">
        <w:t xml:space="preserve"> 26:244</w:t>
      </w:r>
      <w:proofErr w:type="spellEnd"/>
      <w:r w:rsidR="00780DEE">
        <w:t xml:space="preserve"> (1922)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57)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martii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(Benth.)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Paraguay. In altaplanite et declivibus Sierra de Amambay, T. Rojas 10645 (LPS 14307) (LP); isotypes: BM, NY</w:t>
      </w:r>
      <w:proofErr w:type="spellEnd"/>
      <w:r w:rsidRPr="009A6983">
        <w:rPr>
          <w:b/>
        </w:rPr>
        <w:t xml:space="preserve"> Source:</w:t>
      </w:r>
      <w:r>
        <w:t xml:space="preserve"> Seigler et al. (2006: 57)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