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furcata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 Mendoza:  uncultivated places at the foot of the Andes of Mendoza, Dr. Gillies s.n. (E , K - photo, SI - photo); isolectotypes:  F, K. Remaining syntype:  Buenos Ayres (cultivated), Tweedie s.n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(Pers.) Desv. (1814).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