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dolichocephala</w:t>
      </w:r>
      <w:r>
        <w:t xml:space="preserve"> Harms</w:t>
      </w:r>
      <w:r w:rsidR="00780DEE" w:rsidRPr="00780DEE">
        <w:rPr>
          <w:i/>
        </w:rPr>
        <w:t xml:space="preserve"> Annuario Reale Ist. Bot. Roma</w:t>
      </w:r>
      <w:proofErr w:type="spellStart"/>
      <w:r w:rsidR="00780DEE">
        <w:t xml:space="preserve"> 7:86</w:t>
      </w:r>
      <w:proofErr w:type="spellEnd"/>
      <w:r w:rsidR="00780DEE">
        <w:t xml:space="preserve"> (1897)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dolichocephala</w:t>
      </w:r>
      <w:proofErr w:type="spellEnd"/>
      <w:r>
        <w:t xml:space="preserve"> (Harms)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Ethiopia, Galla Sidamo, between Rogono and Goba Duaya, Riva 599 (FI); isotype: K</w:t>
      </w:r>
      <w:proofErr w:type="spellEnd"/>
      <w:r w:rsidRPr="009A6983">
        <w:rPr>
          <w:b/>
        </w:rPr>
        <w:t xml:space="preserve"> Source:</w:t>
      </w:r>
      <w:r>
        <w:t xml:space="preserve"> Ross (1979: 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