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punctata</w:t>
      </w:r>
      <w:r>
        <w:t xml:space="preserve"> Humb. &amp; Bonpl. ex Willd.</w:t>
      </w:r>
      <w:r w:rsidR="00780DEE" w:rsidRPr="00780DEE">
        <w:rPr>
          <w:i/>
        </w:rPr>
        <w:t xml:space="preserve"> Sp. Pl., ed. 4 [Willdenow]</w:t>
      </w:r>
      <w:proofErr w:type="spellStart"/>
      <w:r w:rsidR="00780DEE">
        <w:t xml:space="preserve"> 4(2):1084</w:t>
      </w:r>
      <w:proofErr w:type="spellEnd"/>
      <w:r w:rsidR="00780DEE">
        <w:t xml:space="preserve"> (1806)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Seigler &amp;amp; Ebinger (2005: 161)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macracantha</w:t>
      </w:r>
      <w:proofErr w:type="spellEnd"/>
      <w:r>
        <w:t xml:space="preserve"> (Humb. &amp; Bonpl. ex Willd.) Seigler &amp; Ebinger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in America meridionali, Humboldt &amp; Bonpland 1162 (B-Willd.)</w:t>
      </w:r>
      <w:proofErr w:type="spellEnd"/>
      <w:r w:rsidRPr="009A6983">
        <w:rPr>
          <w:b/>
        </w:rPr>
        <w:t xml:space="preserve"> Source:</w:t>
      </w:r>
      <w:r>
        <w:t xml:space="preserve"> Seigler &amp; Ebinger (2005: 161)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