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penonomensis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4:363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collinsii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Panama. Cocle. Penonomé, 50-1,000 ft., 23 Feb.-22 Mar. 1908, R.S. Williams 113 (NY, F - photo, US - fragment &amp; photo); isotype: US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