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glutea</w:t>
      </w:r>
      <w:r>
        <w:t xml:space="preserve"> Ram. Goyena</w:t>
      </w:r>
      <w:r w:rsidR="00780DEE" w:rsidRPr="00780DEE">
        <w:rPr>
          <w:i/>
        </w:rPr>
        <w:t xml:space="preserve"> Fl. Nicarag.</w:t>
      </w:r>
      <w:proofErr w:type="spellStart"/>
      <w:r w:rsidR="00780DEE">
        <w:t xml:space="preserve"> 1:382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collinsii</w:t>
      </w:r>
      <w:proofErr w:type="spellEnd"/>
      <w:r>
        <w:t xml:space="preserve"> (Saff.)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collinsii Staff. has been conserved over Acacia glutea Ram. (fide Wiersema 2015, App. IV: 369). The conservation proposal was made in Seigler &amp; Ebinger (2007).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