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sericea</w:t>
      </w:r>
      <w:r>
        <w:t xml:space="preserve"> (M.Martens &amp; Galeotti)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23:111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(2006a: 419) &amp;amp; (2023: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sericea</w:t>
      </w:r>
      <w:proofErr w:type="spellEnd"/>
      <w:r>
        <w:t xml:space="preserve"> (M.Martens &amp; Galeotii)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sericea</w:t>
      </w:r>
      <w:r>
        <w:t xml:space="preserve"> M.Martens &amp; Galeotii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