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coolgardiense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latius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latior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(R.S.Cowan &amp; Maslin) Maslin &amp; Buscumb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subsp.</w:t>
      </w:r>
      <w:r w:rsidRPr="00815E7D">
        <w:rPr>
          <w:i/>
        </w:rPr>
        <w:t xml:space="preserve"> latior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