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burkei</w:t>
      </w:r>
      <w:r>
        <w:t xml:space="preserve"> Benth.</w:t>
      </w:r>
      <w:r w:rsidR="00780DEE" w:rsidRPr="00780DEE">
        <w:rPr>
          <w:i/>
        </w:rPr>
        <w:t xml:space="preserve"> London J. Bot.</w:t>
      </w:r>
      <w:proofErr w:type="spellStart"/>
      <w:r w:rsidR="00780DEE">
        <w:t xml:space="preserve"> 5:98</w:t>
      </w:r>
      <w:proofErr w:type="spellEnd"/>
      <w:r w:rsidR="00780DEE">
        <w:t xml:space="preserve"> (1846)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Kyalangalilwa et al. (2013: 507)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burkei</w:t>
      </w:r>
      <w:proofErr w:type="spellEnd"/>
      <w:r>
        <w:t xml:space="preserve"> (Benth.) Kyal. &amp;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South Africa, Transvaal, Magaliesberg, Burke (K); isotypes: BM, PRE</w:t>
      </w:r>
      <w:proofErr w:type="spellEnd"/>
      <w:r w:rsidRPr="009A6983">
        <w:rPr>
          <w:b/>
        </w:rPr>
        <w:t xml:space="preserve"> Source:</w:t>
      </w:r>
      <w:r>
        <w:t xml:space="preserve"> Ross (1979: 76)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