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(Thunb.)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caffra</w:t>
      </w:r>
      <w:r>
        <w:t xml:space="preserve"> Thunb.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