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fleckii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1:108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r>
        <w:t xml:space="preserve"> (Schinz)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Ghanzi, Fleck 412a (Z)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