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gourmaensis</w:t>
      </w:r>
      <w:r>
        <w:t xml:space="preserve"> A.Chev.</w:t>
      </w:r>
      <w:r w:rsidR="00780DEE" w:rsidRPr="00780DEE">
        <w:rPr>
          <w:i/>
        </w:rPr>
        <w:t xml:space="preserve"> Bull. Soc. Bot. France</w:t>
      </w:r>
      <w:proofErr w:type="spellStart"/>
      <w:r w:rsidR="00780DEE">
        <w:t xml:space="preserve"> 58, Mém. 8d:167</w:t>
      </w:r>
      <w:proofErr w:type="spellEnd"/>
      <w:r w:rsidR="00780DEE">
        <w:t xml:space="preserve"> (1912)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508)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gourmaensis</w:t>
      </w:r>
      <w:proofErr w:type="spellEnd"/>
      <w:r>
        <w:t xml:space="preserve"> (A.Chev.)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Benin/Upper Volta, Gourma Province, between Konkobiri and Diagapa, Chevalier 24364 (P); isotype: K</w:t>
      </w:r>
      <w:proofErr w:type="spellEnd"/>
      <w:r w:rsidRPr="009A6983">
        <w:rPr>
          <w:b/>
        </w:rPr>
        <w:t xml:space="preserve"> Source:</w:t>
      </w:r>
      <w:r>
        <w:t xml:space="preserve"> Ross (1979: 65)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