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normalis</w:t>
      </w:r>
      <w:proofErr w:type="spellEnd"/>
      <w:r>
        <w:t xml:space="preserve"> (Benth.) Maiden</w:t>
      </w:r>
      <w:r w:rsidR="00780DEE" w:rsidRPr="00780DEE">
        <w:rPr>
          <w:i/>
        </w:rPr>
        <w:t xml:space="preserve"> Wattles &amp; wattle-barks, ed. 2</w:t>
      </w:r>
      <w:proofErr w:type="spellStart"/>
      <w:r w:rsidR="00780DEE">
        <w:t xml:space="preserve"> :70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decurrens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f.</w:t>
      </w:r>
      <w:r w:rsidRPr="00815E7D">
        <w:rPr>
          <w:i/>
        </w:rPr>
        <w:t xml:space="preserve"> normalis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