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moesta</w:t>
      </w:r>
      <w:r>
        <w:t xml:space="preserve"> Lindl.</w:t>
      </w:r>
      <w:r w:rsidR="00780DEE" w:rsidRPr="00780DEE">
        <w:rPr>
          <w:i/>
        </w:rPr>
        <w:t xml:space="preserve"> Edwards's Bot. Reg.</w:t>
      </w:r>
      <w:proofErr w:type="spellStart"/>
      <w:r w:rsidR="00780DEE">
        <w:t xml:space="preserve"> 32: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r>
        <w:t xml:space="preserve"> (A.Cunn. ex G.Don) Court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A.B. Court, Fl. Australia 11B: 492, 2001): illustration at Edward's Bot. Reg. 1846: t. 67 (1846)</w:t>
      </w:r>
      <w:proofErr w:type="spellEnd"/>
      <w:r w:rsidRPr="009A6983">
        <w:rPr>
          <w:b/>
        </w:rPr>
        <w:t xml:space="preserve"> Source:</w:t>
      </w:r>
      <w:r>
        <w:t xml:space="preserve"> Fl. Australia 11B: 384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