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sundra</w:t>
      </w:r>
      <w:r>
        <w:t xml:space="preserve"> Roxb.</w:t>
      </w:r>
      <w:r w:rsidR="00780DEE" w:rsidRPr="00780DEE">
        <w:rPr>
          <w:i/>
        </w:rPr>
        <w:t xml:space="preserve"> Pl. Coromandel</w:t>
      </w:r>
      <w:proofErr w:type="spellStart"/>
      <w:r w:rsidR="00780DEE">
        <w:t xml:space="preserve"> 3:19</w:t>
      </w:r>
      <w:proofErr w:type="spellEnd"/>
      <w:r w:rsidR="00780DEE">
        <w:t xml:space="preserve"> (1811)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Maslin (2012: 466); Deshpande (2019: 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chundra</w:t>
      </w:r>
      <w:proofErr w:type="spellEnd"/>
      <w:r>
        <w:t xml:space="preserve"> (Roxb. ex Rottler)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Iconotype: ‘forests and mountains of Coromandel’, Pl. Coromandel 3: t. 225</w:t>
      </w:r>
      <w:proofErr w:type="spellEnd"/>
      <w:r w:rsidRPr="009A6983">
        <w:rPr>
          <w:b/>
        </w:rPr>
        <w:t xml:space="preserve"> Source:</w:t>
      </w:r>
      <w:r>
        <w:t xml:space="preserve"> Ross (2001: 208); Deshpande (2019: 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