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pubescens</w:t>
      </w:r>
      <w:r>
        <w:t xml:space="preserve"> Vent.</w:t>
      </w:r>
      <w:r w:rsidR="00780DEE" w:rsidRPr="00780DEE">
        <w:rPr>
          <w:i/>
        </w:rPr>
        <w:t xml:space="preserve"> Jard. Malmaison</w:t>
      </w:r>
      <w:proofErr w:type="spellStart"/>
      <w:r w:rsidR="00780DEE">
        <w:t xml:space="preserve"> 1: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"Arbrisseau originaire de la Nouvelle Hollande"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P.K. Kodela &amp; P.G. Wilson 2017: 30): ex H. Malm. [from the Garden of Malmaison] (G [G00341443, left-hand branchlet])</w:t>
      </w:r>
      <w:proofErr w:type="spellEnd"/>
      <w:r w:rsidRPr="009A6983">
        <w:rPr>
          <w:b/>
        </w:rPr>
        <w:t xml:space="preserve"> Source:</w:t>
      </w:r>
      <w:r>
        <w:t xml:space="preserve"> Kodela &amp; Wilson (2017: 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