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taxifolia</w:t>
      </w:r>
      <w:r>
        <w:t xml:space="preserve"> Lodd.</w:t>
      </w:r>
      <w:r w:rsidR="00780DEE" w:rsidRPr="00780DEE">
        <w:rPr>
          <w:i/>
        </w:rPr>
        <w:t xml:space="preserve"> Bot. Cab.</w:t>
      </w:r>
      <w:proofErr w:type="spellStart"/>
      <w:r w:rsidR="00780DEE">
        <w:t xml:space="preserve"> 13:</w:t>
      </w:r>
      <w:proofErr w:type="spellEnd"/>
      <w:r w:rsidR="00780DEE">
        <w:t xml:space="preserve"> (1827)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11B: 382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oxycedrus</w:t>
      </w:r>
      <w:proofErr w:type="spellEnd"/>
      <w:r>
        <w:t xml:space="preserve"> Sieber ex DC.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 but provenance given as "N.S.W. (without further information)"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not seen</w:t>
      </w:r>
      <w:proofErr w:type="spellEnd"/>
      <w:r w:rsidRPr="009A6983">
        <w:rPr>
          <w:b/>
        </w:rPr>
        <w:t xml:space="preserve"> Source:</w:t>
      </w:r>
      <w:r>
        <w:t xml:space="preserve"> Fl. Australia 11B: 382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Willd. (1806) nec A.Cunn. (1825).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