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clementii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xiphophylla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Ashburton River and Yule River, W.A., 1898, E. Clement 225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303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Domin (1926). Originally published as 'Acacia clementi'.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