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sowdenii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53:180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papyrocarpa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Port Augusta, S.A., Jan. 1907, J.H. Maiden s.n.; holo (NSW); isotypes: K,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108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'Sowdeni'.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