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neglecta</w:t>
      </w:r>
      <w:r>
        <w:t xml:space="preserve"> Maiden &amp; R.T.Baker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9:163</w:t>
      </w:r>
      <w:proofErr w:type="spellEnd"/>
      <w:r w:rsidR="00780DEE">
        <w:t xml:space="preserve"> (1894)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(1980: 280)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buxifolia</w:t>
      </w:r>
      <w:proofErr w:type="spellEnd"/>
      <w:r>
        <w:t xml:space="preserve"> A.Cunn.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"Bowenfels and Rylestone District, and other trans-Blue Mtns localities"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340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