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angulata</w:t>
      </w:r>
      <w:r>
        <w:t xml:space="preserve"> Desv.</w:t>
      </w:r>
      <w:r w:rsidR="00780DEE" w:rsidRPr="00780DEE">
        <w:rPr>
          <w:i/>
        </w:rPr>
        <w:t xml:space="preserve"> J. Bot. Agric.</w:t>
      </w:r>
      <w:proofErr w:type="spellStart"/>
      <w:r w:rsidR="00780DEE">
        <w:t xml:space="preserve"> 3:68</w:t>
      </w:r>
      <w:proofErr w:type="spellEnd"/>
      <w:r w:rsidR="00780DEE">
        <w:t xml:space="preserve"> (1814)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240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decurrens</w:t>
      </w:r>
      <w:proofErr w:type="spellEnd"/>
      <w:r>
        <w:t xml:space="preserve">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Nouvelle Hollande, Cote Oriental Voyage aux Terres-Australes, 1801, Capitaine Baudin (P); isotype: BM</w:t>
      </w:r>
      <w:proofErr w:type="spellEnd"/>
      <w:r w:rsidRPr="009A6983">
        <w:rPr>
          <w:b/>
        </w:rPr>
        <w:t xml:space="preserve"> Source:</w:t>
      </w:r>
      <w:r>
        <w:t xml:space="preserve"> Fl. Australia 11A: 240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