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campeachiana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campeachiana</w:t>
      </w:r>
      <w:proofErr w:type="spellEnd"/>
      <w:r>
        <w:t xml:space="preserve"> (Mill.)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Vachellia campeachiana f. houghii (Britton &amp; Rose) Seigler &amp; Ebinger.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cochliacantha</w:t>
      </w:r>
      <w:r w:rsidR="00041308">
        <w:t xml:space="preserve"> f.</w:t>
      </w:r>
      <w:r w:rsidR="00041308" w:rsidRPr="00815E7D">
        <w:rPr>
          <w:i/>
        </w:rPr>
        <w:t xml:space="preserve"> cochliacantha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cochliacantha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cochliacantha</w:t>
      </w:r>
      <w:proofErr w:type="spellEnd"/>
      <w:r>
        <w:t xml:space="preserve"> Humb. &amp; Bonpl. ex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proofErr w:type="spellStart"/>
      <w:r>
        <w:t xml:space="preserve"> f.</w:t>
      </w:r>
      <w:proofErr w:type="spellEnd"/>
      <w:proofErr w:type="spellStart"/>
      <w:r w:rsidRPr="00815E7D">
        <w:rPr>
          <w:i/>
        </w:rPr>
        <w:t xml:space="preserve"> campeachiana</w:t>
      </w:r>
      <w:proofErr w:type="spellEnd"/>
      <w:r>
        <w:t xml:space="preserve"> (Mill.)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formation of A. cochliacantha f. houghii (Britton &amp; Rose) Seigler &amp; Ebinger.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cochliacantha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