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euphleba</w:t>
      </w:r>
      <w:r>
        <w:t xml:space="preserve"> W.Fitzg.</w:t>
      </w:r>
      <w:r w:rsidR="00780DEE" w:rsidRPr="00780DEE">
        <w:rPr>
          <w:i/>
        </w:rPr>
        <w:t xml:space="preserve"> J. Western Australia Nat. Hist. Soc.</w:t>
      </w:r>
      <w:proofErr w:type="spellStart"/>
      <w:r w:rsidR="00780DEE">
        <w:t xml:space="preserve"> 1:16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325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craspedocarpa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Randell, J. Adelaide Bot. Gard. 14(2): 127, 1992): near Millys Soak, near Cue, Murchison River District, Western Australia, September 1903, W.V. Fitzgerald s.n. (NSW); isolectotypes: NSW, PERTH 00751561, PERTH 00694312, fragment). Remaining syntype: Gwalia, Western Australia, November 1903, W.V.Fitzgerald s.n. (n.v.)</w:t>
      </w:r>
      <w:proofErr w:type="spellEnd"/>
      <w:r w:rsidRPr="009A6983">
        <w:rPr>
          <w:b/>
        </w:rPr>
        <w:t xml:space="preserve"> Source:</w:t>
      </w:r>
      <w:r>
        <w:t xml:space="preserve"> Maslin &amp; Reid (2012: 198)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