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tasmannica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Van Diemen’s Land [Tas.], R.C. Gunn 677, without date (n.v.)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