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longifolia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latifolia</w:t>
      </w:r>
      <w:proofErr w:type="spellEnd"/>
      <w:r>
        <w:t xml:space="preserve"> Sweet</w:t>
      </w:r>
      <w:r w:rsidR="00780DEE" w:rsidRPr="00780DEE">
        <w:rPr>
          <w:i/>
        </w:rPr>
        <w:t xml:space="preserve"> Hort. Brit., Ed. 2</w:t>
      </w:r>
      <w:proofErr w:type="spellStart"/>
      <w:r w:rsidR="00780DEE">
        <w:t xml:space="preserve"> :165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11B: 375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longifolia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longifolia</w:t>
      </w:r>
      <w:proofErr w:type="spellEnd"/>
      <w:r>
        <w:t xml:space="preserve"> (Andrews) Willd.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Bot. Mag. 47: t. 2166 (1820)</w:t>
      </w:r>
      <w:proofErr w:type="spellEnd"/>
      <w:r w:rsidRPr="009A6983">
        <w:rPr>
          <w:b/>
        </w:rPr>
        <w:t xml:space="preserve"> Source:</w:t>
      </w:r>
      <w:r>
        <w:t xml:space="preserve"> Fl. Australia 11B: 375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