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rorudiana</w:t>
      </w:r>
      <w:r>
        <w:t xml:space="preserve"> Christoph.</w:t>
      </w:r>
      <w:r w:rsidR="00780DEE" w:rsidRPr="00780DEE">
        <w:rPr>
          <w:i/>
        </w:rPr>
        <w:t xml:space="preserve"> Nyt Mag. Naturvidensk.</w:t>
      </w:r>
      <w:proofErr w:type="spellStart"/>
      <w:r w:rsidR="00780DEE">
        <w:t xml:space="preserve"> 70:76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rorudiana</w:t>
      </w:r>
      <w:proofErr w:type="spellEnd"/>
      <w:r>
        <w:t xml:space="preserve"> (Christoph.)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Ecuador. Galapagos. Santa Cruz Island (Indefatigable), Academy Bay, the dry zone, Dec. 1926, B. Rorud 12 (O)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