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conferta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11A:347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mariae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not as to lectotype, as to Australia, Bauer; paralecto: 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