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angustifolia</w:t>
      </w:r>
      <w:r>
        <w:t xml:space="preserve"> H.L.Wendl.</w:t>
      </w:r>
      <w:r w:rsidR="00780DEE" w:rsidRPr="00780DEE">
        <w:rPr>
          <w:i/>
        </w:rPr>
        <w:t xml:space="preserve"> Comm. Acac. Aphyll.</w:t>
      </w:r>
      <w:proofErr w:type="spellStart"/>
      <w:r w:rsidR="00780DEE">
        <w:t xml:space="preserve"> :5, 34</w:t>
      </w:r>
      <w:proofErr w:type="spellEnd"/>
      <w:r w:rsidR="00780DEE">
        <w:t xml:space="preserve"> (1820)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 Lam.) Desf. (1815).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angustifolia</w:t>
      </w:r>
      <w:r>
        <w:t xml:space="preserve"> Jacq.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