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pacensis</w:t>
      </w:r>
      <w:r>
        <w:t xml:space="preserve"> Rudd &amp; A.M.Carter</w:t>
      </w:r>
      <w:r w:rsidR="00780DEE" w:rsidRPr="00780DEE">
        <w:rPr>
          <w:i/>
        </w:rPr>
        <w:t xml:space="preserve"> Madroño</w:t>
      </w:r>
      <w:proofErr w:type="spellStart"/>
      <w:r w:rsidR="00780DEE">
        <w:t xml:space="preserve"> 30:177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pacensis</w:t>
      </w:r>
      <w:proofErr w:type="spellEnd"/>
      <w:r>
        <w:t xml:space="preserve"> (Rudd &amp; A.M.Carter)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Holotype; Mexico. Baja California Sur. La Paz, 1 Nov. 1890, T.S. Brandegee 190 (UC)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