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salicina</w:t>
      </w:r>
      <w:r>
        <w:t xml:space="preserve"> sens. Hochr.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2:375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rostellifera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Hochreutiner 2880 (Z).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