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deneufvillei</w:t>
      </w:r>
      <w:r>
        <w:t xml:space="preserve"> L.Winter ex A.Berger</w:t>
      </w:r>
      <w:r w:rsidR="00780DEE" w:rsidRPr="00780DEE">
        <w:rPr>
          <w:i/>
        </w:rPr>
        <w:t xml:space="preserve"> Gartenwelt</w:t>
      </w:r>
      <w:proofErr w:type="spellStart"/>
      <w:r w:rsidR="00780DEE">
        <w:t xml:space="preserve"> 14:112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garden hybrid involving A. podalyriifolia and A. pycnantha; see also G.Vagliasindi, Rev. Hort. Belge Etrangere 37(3): 207, pl. (1911) &amp; Bull. R. Soc. Toscana Ort. 37(7): 222 (1911); Le Tennier, Le Jardin No. 604: 122 (1912).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