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mayana</w:t>
      </w:r>
      <w:r>
        <w:t xml:space="preserve"> (Lundell)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mayana</w:t>
      </w:r>
      <w:r>
        <w:t xml:space="preserve"> Lundell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mayana</w:t>
      </w:r>
      <w:r>
        <w:t xml:space="preserve"> Lundell</w:t>
      </w:r>
      <w:r>
        <w:t xml:space="preserve"> (1937)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mayana</w:t>
      </w:r>
      <w:r>
        <w:t xml:space="preserve"> Lundell</w:t>
      </w:r>
      <w:r w:rsidR="00780DEE" w:rsidRPr="00780DEE">
        <w:rPr>
          <w:i/>
        </w:rPr>
        <w:t xml:space="preserve"> Publ. Carnegie Inst. Washington</w:t>
      </w:r>
      <w:proofErr w:type="spellStart"/>
      <w:r w:rsidR="00780DEE">
        <w:t xml:space="preserve"> 478:210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mayana</w:t>
      </w:r>
      <w:proofErr w:type="spellEnd"/>
      <w:r>
        <w:t xml:space="preserve"> (Lundell)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Guatemala. El Peten. near San Diego on the Rio Pasión, 10 Apr. 1935, M. Aguilar H. 495 (MICH); isotypes: GH,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